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4C8" w14:textId="2ECF06AC" w:rsidR="003833E8" w:rsidRDefault="003833E8">
      <w:pPr>
        <w:rPr>
          <w:lang w:val="en-US"/>
        </w:rPr>
      </w:pPr>
      <w:r>
        <w:rPr>
          <w:lang w:val="en-US"/>
        </w:rPr>
        <w:t>The table below contains questions re</w:t>
      </w:r>
      <w:r w:rsidR="002E1070">
        <w:rPr>
          <w:lang w:val="en-US"/>
        </w:rPr>
        <w:t>ceived and related responses provided by Oxfam Denmark in relation to the EOL Review TORs. The questions are posted</w:t>
      </w:r>
      <w:r w:rsidR="00BB10DC">
        <w:rPr>
          <w:lang w:val="en-US"/>
        </w:rPr>
        <w:t xml:space="preserve"> publicly</w:t>
      </w:r>
      <w:r w:rsidR="002E1070">
        <w:rPr>
          <w:lang w:val="en-US"/>
        </w:rPr>
        <w:t xml:space="preserve"> to ensure that all interested applicants have access to the </w:t>
      </w:r>
      <w:r w:rsidR="008F009F">
        <w:rPr>
          <w:lang w:val="en-US"/>
        </w:rPr>
        <w:t xml:space="preserve">same level of information. It will be updated continuously up until the submission deadline as questions are </w:t>
      </w:r>
      <w:r w:rsidR="00BB10DC">
        <w:rPr>
          <w:lang w:val="en-US"/>
        </w:rPr>
        <w:t>submitted.</w:t>
      </w:r>
    </w:p>
    <w:p w14:paraId="60BBE084" w14:textId="77777777" w:rsidR="00064A85" w:rsidRDefault="00064A85">
      <w:pPr>
        <w:rPr>
          <w:lang w:val="en-US"/>
        </w:rPr>
      </w:pPr>
    </w:p>
    <w:tbl>
      <w:tblPr>
        <w:tblStyle w:val="TableGrid"/>
        <w:tblW w:w="8522" w:type="dxa"/>
        <w:tblLook w:val="04A0" w:firstRow="1" w:lastRow="0" w:firstColumn="1" w:lastColumn="0" w:noHBand="0" w:noVBand="1"/>
      </w:tblPr>
      <w:tblGrid>
        <w:gridCol w:w="1956"/>
        <w:gridCol w:w="3097"/>
        <w:gridCol w:w="2362"/>
        <w:gridCol w:w="1107"/>
      </w:tblGrid>
      <w:tr w:rsidR="007E797D" w14:paraId="21D3D8F1" w14:textId="5EE52C8E" w:rsidTr="156467F4">
        <w:trPr>
          <w:trHeight w:val="300"/>
        </w:trPr>
        <w:tc>
          <w:tcPr>
            <w:tcW w:w="1615" w:type="dxa"/>
          </w:tcPr>
          <w:p w14:paraId="0D38D42C" w14:textId="0319AC07" w:rsidR="007E797D" w:rsidRPr="00BE6730" w:rsidRDefault="007E797D" w:rsidP="007E797D">
            <w:pPr>
              <w:rPr>
                <w:b/>
                <w:bCs/>
                <w:lang w:val="en-US"/>
              </w:rPr>
            </w:pPr>
            <w:r>
              <w:rPr>
                <w:b/>
                <w:bCs/>
                <w:lang w:val="en-US"/>
              </w:rPr>
              <w:t>Topics</w:t>
            </w:r>
          </w:p>
        </w:tc>
        <w:tc>
          <w:tcPr>
            <w:tcW w:w="3282" w:type="dxa"/>
          </w:tcPr>
          <w:p w14:paraId="41149EF8" w14:textId="0EE94703" w:rsidR="007E797D" w:rsidRPr="007E797D" w:rsidRDefault="007E797D" w:rsidP="007E797D">
            <w:pPr>
              <w:rPr>
                <w:lang w:val="en-US"/>
              </w:rPr>
            </w:pPr>
            <w:r w:rsidRPr="00BE6730">
              <w:rPr>
                <w:b/>
                <w:bCs/>
                <w:lang w:val="en-US"/>
              </w:rPr>
              <w:t>Question to TORs (language edited/shortened)</w:t>
            </w:r>
          </w:p>
        </w:tc>
        <w:tc>
          <w:tcPr>
            <w:tcW w:w="2518" w:type="dxa"/>
          </w:tcPr>
          <w:p w14:paraId="583060FE" w14:textId="5A49176D" w:rsidR="007E797D" w:rsidRPr="00BE6730" w:rsidRDefault="007E797D" w:rsidP="007E797D">
            <w:pPr>
              <w:rPr>
                <w:b/>
                <w:bCs/>
                <w:lang w:val="en-US"/>
              </w:rPr>
            </w:pPr>
            <w:r w:rsidRPr="00BE6730">
              <w:rPr>
                <w:b/>
                <w:bCs/>
                <w:lang w:val="en-US"/>
              </w:rPr>
              <w:t>Answer provided by ODK</w:t>
            </w:r>
          </w:p>
        </w:tc>
        <w:tc>
          <w:tcPr>
            <w:tcW w:w="1107" w:type="dxa"/>
          </w:tcPr>
          <w:p w14:paraId="5305D547" w14:textId="3FAD995E" w:rsidR="007E797D" w:rsidRPr="00BE6730" w:rsidRDefault="007E797D" w:rsidP="007E797D">
            <w:pPr>
              <w:rPr>
                <w:b/>
                <w:bCs/>
                <w:lang w:val="en-US"/>
              </w:rPr>
            </w:pPr>
            <w:r w:rsidRPr="00BE6730">
              <w:rPr>
                <w:b/>
                <w:bCs/>
                <w:lang w:val="en-US"/>
              </w:rPr>
              <w:t>Date answered</w:t>
            </w:r>
          </w:p>
        </w:tc>
      </w:tr>
      <w:tr w:rsidR="0025698F" w:rsidRPr="009A5DBD" w14:paraId="4BE5695B" w14:textId="77777777" w:rsidTr="156467F4">
        <w:trPr>
          <w:trHeight w:val="300"/>
        </w:trPr>
        <w:tc>
          <w:tcPr>
            <w:tcW w:w="1615" w:type="dxa"/>
          </w:tcPr>
          <w:p w14:paraId="0A1C2D63" w14:textId="0175E767" w:rsidR="0025698F" w:rsidRPr="00530BCE" w:rsidRDefault="009A5DBD" w:rsidP="007E797D">
            <w:pPr>
              <w:rPr>
                <w:rFonts w:eastAsia="Times New Roman"/>
                <w:lang w:val="en-GB"/>
              </w:rPr>
            </w:pPr>
            <w:r w:rsidRPr="00530BCE">
              <w:rPr>
                <w:rFonts w:eastAsia="Times New Roman"/>
                <w:lang w:val="en-GB"/>
              </w:rPr>
              <w:t>Conflicts of interests (</w:t>
            </w:r>
            <w:proofErr w:type="spellStart"/>
            <w:r w:rsidRPr="00530BCE">
              <w:rPr>
                <w:rFonts w:eastAsia="Times New Roman"/>
                <w:lang w:val="en-GB"/>
              </w:rPr>
              <w:t>CoI</w:t>
            </w:r>
            <w:proofErr w:type="spellEnd"/>
            <w:r w:rsidRPr="00530BCE">
              <w:rPr>
                <w:rFonts w:eastAsia="Times New Roman"/>
                <w:lang w:val="en-GB"/>
              </w:rPr>
              <w:t>)</w:t>
            </w:r>
          </w:p>
        </w:tc>
        <w:tc>
          <w:tcPr>
            <w:tcW w:w="3282" w:type="dxa"/>
          </w:tcPr>
          <w:p w14:paraId="7605EBE1" w14:textId="4AFAEB5D" w:rsidR="0025698F" w:rsidRPr="00530BCE" w:rsidRDefault="009A5DBD" w:rsidP="007E797D">
            <w:pPr>
              <w:rPr>
                <w:rFonts w:eastAsia="Times New Roman"/>
                <w:lang w:val="en-GB"/>
              </w:rPr>
            </w:pPr>
            <w:r w:rsidRPr="00530BCE">
              <w:rPr>
                <w:rFonts w:eastAsia="Times New Roman"/>
                <w:lang w:val="en-GB"/>
              </w:rPr>
              <w:t xml:space="preserve">[Question submitted on </w:t>
            </w:r>
            <w:r w:rsidR="00530BCE">
              <w:rPr>
                <w:rFonts w:eastAsia="Times New Roman"/>
                <w:lang w:val="en-GB"/>
              </w:rPr>
              <w:t xml:space="preserve">specific </w:t>
            </w:r>
            <w:r w:rsidRPr="00530BCE">
              <w:rPr>
                <w:rFonts w:eastAsia="Times New Roman"/>
                <w:lang w:val="en-GB"/>
              </w:rPr>
              <w:t>potential conflict of interest]</w:t>
            </w:r>
          </w:p>
        </w:tc>
        <w:tc>
          <w:tcPr>
            <w:tcW w:w="2518" w:type="dxa"/>
          </w:tcPr>
          <w:p w14:paraId="5C370A6D" w14:textId="2630BE81" w:rsidR="0025698F" w:rsidRPr="00530BCE" w:rsidRDefault="009A5DBD" w:rsidP="007E797D">
            <w:pPr>
              <w:rPr>
                <w:rFonts w:eastAsia="Times New Roman"/>
                <w:lang w:val="en-GB"/>
              </w:rPr>
            </w:pPr>
            <w:r w:rsidRPr="00530BCE">
              <w:rPr>
                <w:rFonts w:eastAsia="Times New Roman"/>
                <w:lang w:val="en-GB"/>
              </w:rPr>
              <w:t xml:space="preserve">Having worked with GPE or ODK in the past on matters not related to EOL or other GPE supported CS work certainly would not constitute </w:t>
            </w:r>
            <w:proofErr w:type="spellStart"/>
            <w:r w:rsidRPr="00530BCE">
              <w:rPr>
                <w:rFonts w:eastAsia="Times New Roman"/>
                <w:lang w:val="en-GB"/>
              </w:rPr>
              <w:t>CoI</w:t>
            </w:r>
            <w:proofErr w:type="spellEnd"/>
            <w:r w:rsidRPr="00530BCE">
              <w:rPr>
                <w:rFonts w:eastAsia="Times New Roman"/>
                <w:lang w:val="en-GB"/>
              </w:rPr>
              <w:t xml:space="preserve">. As contractor ODK may raise concerns with a successful bidder if </w:t>
            </w:r>
            <w:proofErr w:type="spellStart"/>
            <w:r w:rsidRPr="00530BCE">
              <w:rPr>
                <w:rFonts w:eastAsia="Times New Roman"/>
                <w:lang w:val="en-GB"/>
              </w:rPr>
              <w:t>CoI</w:t>
            </w:r>
            <w:proofErr w:type="spellEnd"/>
            <w:r w:rsidRPr="00530BCE">
              <w:rPr>
                <w:rFonts w:eastAsia="Times New Roman"/>
                <w:lang w:val="en-GB"/>
              </w:rPr>
              <w:t xml:space="preserve"> issues are identified to find effective ways addressing these, e.g. looking at the division of labour among the team of consultants.</w:t>
            </w:r>
          </w:p>
        </w:tc>
        <w:tc>
          <w:tcPr>
            <w:tcW w:w="1107" w:type="dxa"/>
          </w:tcPr>
          <w:p w14:paraId="4697E2D2" w14:textId="317F9EA5" w:rsidR="0025698F" w:rsidRPr="00530BCE" w:rsidRDefault="00530BCE" w:rsidP="007E797D">
            <w:pPr>
              <w:rPr>
                <w:rFonts w:eastAsia="Times New Roman"/>
                <w:lang w:val="en-GB"/>
              </w:rPr>
            </w:pPr>
            <w:r w:rsidRPr="00530BCE">
              <w:rPr>
                <w:rFonts w:eastAsia="Times New Roman"/>
                <w:lang w:val="en-GB"/>
              </w:rPr>
              <w:t>30 April 2024</w:t>
            </w:r>
          </w:p>
        </w:tc>
      </w:tr>
      <w:tr w:rsidR="007C7C27" w:rsidRPr="003467AC" w14:paraId="7AD11475" w14:textId="77777777" w:rsidTr="156467F4">
        <w:trPr>
          <w:trHeight w:val="300"/>
        </w:trPr>
        <w:tc>
          <w:tcPr>
            <w:tcW w:w="1615" w:type="dxa"/>
          </w:tcPr>
          <w:p w14:paraId="23034E97" w14:textId="4E747565" w:rsidR="007C7C27" w:rsidRPr="003467AC" w:rsidRDefault="003467AC" w:rsidP="007E797D">
            <w:pPr>
              <w:rPr>
                <w:rFonts w:eastAsia="Times New Roman"/>
                <w:lang w:val="en-GB"/>
              </w:rPr>
            </w:pPr>
            <w:r>
              <w:rPr>
                <w:rFonts w:eastAsia="Times New Roman"/>
                <w:lang w:val="en-GB"/>
              </w:rPr>
              <w:t>Adding a cost analysis</w:t>
            </w:r>
          </w:p>
        </w:tc>
        <w:tc>
          <w:tcPr>
            <w:tcW w:w="3282" w:type="dxa"/>
          </w:tcPr>
          <w:p w14:paraId="70A26900" w14:textId="77777777" w:rsidR="003467AC" w:rsidRPr="003467AC" w:rsidRDefault="003467AC" w:rsidP="003467AC">
            <w:pPr>
              <w:rPr>
                <w:rFonts w:eastAsia="Times New Roman"/>
                <w:lang w:val="en-GB"/>
              </w:rPr>
            </w:pPr>
            <w:r w:rsidRPr="003467AC">
              <w:rPr>
                <w:rFonts w:eastAsia="Times New Roman"/>
                <w:lang w:val="en-GB"/>
              </w:rPr>
              <w:t>Can you let me know if cost analysis is a consideration for this work?</w:t>
            </w:r>
          </w:p>
          <w:p w14:paraId="50EAB51F" w14:textId="77777777" w:rsidR="007C7C27" w:rsidRPr="003467AC" w:rsidRDefault="007C7C27" w:rsidP="007E797D">
            <w:pPr>
              <w:rPr>
                <w:rFonts w:eastAsia="Times New Roman"/>
                <w:lang w:val="en-GB"/>
              </w:rPr>
            </w:pPr>
          </w:p>
        </w:tc>
        <w:tc>
          <w:tcPr>
            <w:tcW w:w="2518" w:type="dxa"/>
          </w:tcPr>
          <w:p w14:paraId="57333DED" w14:textId="64C880D3" w:rsidR="007C7C27" w:rsidRPr="003467AC" w:rsidRDefault="003467AC" w:rsidP="007E797D">
            <w:pPr>
              <w:rPr>
                <w:rFonts w:eastAsia="Times New Roman"/>
                <w:lang w:val="en-GB"/>
              </w:rPr>
            </w:pPr>
            <w:r w:rsidRPr="003467AC">
              <w:rPr>
                <w:rFonts w:eastAsia="Times New Roman"/>
                <w:lang w:val="en-GB"/>
              </w:rPr>
              <w:t xml:space="preserve">A </w:t>
            </w:r>
            <w:r w:rsidRPr="003467AC">
              <w:rPr>
                <w:rFonts w:eastAsia="Times New Roman"/>
                <w:lang w:val="en-GB"/>
              </w:rPr>
              <w:t>cost analysis may be undertaken as part of the assignment</w:t>
            </w:r>
            <w:r>
              <w:rPr>
                <w:rFonts w:eastAsia="Times New Roman"/>
                <w:lang w:val="en-GB"/>
              </w:rPr>
              <w:t>,</w:t>
            </w:r>
            <w:r w:rsidRPr="003467AC">
              <w:rPr>
                <w:rFonts w:eastAsia="Times New Roman"/>
                <w:lang w:val="en-GB"/>
              </w:rPr>
              <w:t xml:space="preserve"> but it is not expected to form a significant part of the work</w:t>
            </w:r>
          </w:p>
        </w:tc>
        <w:tc>
          <w:tcPr>
            <w:tcW w:w="1107" w:type="dxa"/>
          </w:tcPr>
          <w:p w14:paraId="63DB9ADE" w14:textId="53399A23" w:rsidR="007C7C27" w:rsidRPr="003467AC" w:rsidRDefault="003467AC" w:rsidP="007E797D">
            <w:pPr>
              <w:rPr>
                <w:rFonts w:eastAsia="Times New Roman"/>
                <w:lang w:val="en-GB"/>
              </w:rPr>
            </w:pPr>
            <w:r>
              <w:rPr>
                <w:rFonts w:eastAsia="Times New Roman"/>
                <w:lang w:val="en-GB"/>
              </w:rPr>
              <w:t>30 April 2024</w:t>
            </w:r>
          </w:p>
        </w:tc>
      </w:tr>
      <w:tr w:rsidR="00E3084A" w:rsidRPr="006268BF" w14:paraId="4778BD11" w14:textId="77777777" w:rsidTr="156467F4">
        <w:trPr>
          <w:trHeight w:val="300"/>
        </w:trPr>
        <w:tc>
          <w:tcPr>
            <w:tcW w:w="1615" w:type="dxa"/>
          </w:tcPr>
          <w:p w14:paraId="3A5325C8" w14:textId="23FEBCBD" w:rsidR="00E3084A" w:rsidRPr="003467AC" w:rsidRDefault="00C80742" w:rsidP="007E797D">
            <w:pPr>
              <w:rPr>
                <w:rFonts w:eastAsia="Times New Roman"/>
                <w:lang w:val="en-GB"/>
              </w:rPr>
            </w:pPr>
            <w:r w:rsidRPr="003467AC">
              <w:rPr>
                <w:rFonts w:eastAsia="Times New Roman"/>
                <w:lang w:val="en-GB"/>
              </w:rPr>
              <w:t>Sharing findings/downward accountability</w:t>
            </w:r>
          </w:p>
        </w:tc>
        <w:tc>
          <w:tcPr>
            <w:tcW w:w="3282" w:type="dxa"/>
          </w:tcPr>
          <w:p w14:paraId="61E89BB5" w14:textId="44A036C7" w:rsidR="006268BF" w:rsidRPr="006268BF" w:rsidRDefault="006268BF" w:rsidP="006268BF">
            <w:pPr>
              <w:rPr>
                <w:rFonts w:eastAsia="Times New Roman"/>
                <w:lang w:val="en-GB"/>
              </w:rPr>
            </w:pPr>
            <w:r>
              <w:rPr>
                <w:rFonts w:eastAsia="Times New Roman"/>
                <w:lang w:val="en-GB"/>
              </w:rPr>
              <w:t>T</w:t>
            </w:r>
            <w:r w:rsidRPr="006268BF">
              <w:rPr>
                <w:rFonts w:eastAsia="Times New Roman"/>
                <w:lang w:val="en-GB"/>
              </w:rPr>
              <w:t xml:space="preserve">he proposal </w:t>
            </w:r>
            <w:r>
              <w:rPr>
                <w:rFonts w:eastAsia="Times New Roman"/>
                <w:lang w:val="en-GB"/>
              </w:rPr>
              <w:t xml:space="preserve">(edit: TORs) </w:t>
            </w:r>
            <w:r w:rsidRPr="006268BF">
              <w:rPr>
                <w:rFonts w:eastAsia="Times New Roman"/>
                <w:lang w:val="en-GB"/>
              </w:rPr>
              <w:t xml:space="preserve">seems to be written for upward accountability.  Is this the intended objective of the piece of work or is there opportunity for accountability in all directions? </w:t>
            </w:r>
          </w:p>
          <w:p w14:paraId="22DD397F" w14:textId="77777777" w:rsidR="00E3084A" w:rsidRPr="003467AC" w:rsidRDefault="00E3084A" w:rsidP="007E797D">
            <w:pPr>
              <w:rPr>
                <w:rFonts w:eastAsia="Times New Roman"/>
                <w:lang w:val="en-GB"/>
              </w:rPr>
            </w:pPr>
          </w:p>
        </w:tc>
        <w:tc>
          <w:tcPr>
            <w:tcW w:w="2518" w:type="dxa"/>
          </w:tcPr>
          <w:p w14:paraId="1BF3720A" w14:textId="014376C6" w:rsidR="0021152B" w:rsidRPr="003467AC" w:rsidRDefault="0021152B" w:rsidP="0021152B">
            <w:pPr>
              <w:rPr>
                <w:rFonts w:eastAsia="Times New Roman"/>
                <w:lang w:val="en-GB"/>
              </w:rPr>
            </w:pPr>
            <w:r w:rsidRPr="003467AC">
              <w:rPr>
                <w:rFonts w:eastAsia="Times New Roman"/>
                <w:lang w:val="en-GB"/>
              </w:rPr>
              <w:t>It is the responsibility of the grant agent to share findings, lessons learned and recommendations with EOL grantees, possibly with the involvement of the team of consultants (in that case: on a separate contract)</w:t>
            </w:r>
          </w:p>
        </w:tc>
        <w:tc>
          <w:tcPr>
            <w:tcW w:w="1107" w:type="dxa"/>
          </w:tcPr>
          <w:p w14:paraId="656AA63F" w14:textId="6DA2B372" w:rsidR="00E3084A" w:rsidRPr="003467AC" w:rsidRDefault="0021152B" w:rsidP="007E797D">
            <w:pPr>
              <w:rPr>
                <w:rFonts w:eastAsia="Times New Roman"/>
                <w:lang w:val="en-GB"/>
              </w:rPr>
            </w:pPr>
            <w:r w:rsidRPr="003467AC">
              <w:rPr>
                <w:rFonts w:eastAsia="Times New Roman"/>
                <w:lang w:val="en-GB"/>
              </w:rPr>
              <w:t>29 April 2024</w:t>
            </w:r>
          </w:p>
        </w:tc>
      </w:tr>
      <w:tr w:rsidR="009B57F2" w:rsidRPr="00E3084A" w14:paraId="40EC0920" w14:textId="77777777" w:rsidTr="156467F4">
        <w:trPr>
          <w:trHeight w:val="300"/>
        </w:trPr>
        <w:tc>
          <w:tcPr>
            <w:tcW w:w="1615" w:type="dxa"/>
          </w:tcPr>
          <w:p w14:paraId="294C253B" w14:textId="14D46614" w:rsidR="009B57F2" w:rsidRPr="00E3084A" w:rsidRDefault="00E3084A" w:rsidP="007E797D">
            <w:pPr>
              <w:rPr>
                <w:lang w:val="en-US"/>
              </w:rPr>
            </w:pPr>
            <w:r w:rsidRPr="00E3084A">
              <w:rPr>
                <w:lang w:val="en-US"/>
              </w:rPr>
              <w:t>Scope of data collection</w:t>
            </w:r>
          </w:p>
        </w:tc>
        <w:tc>
          <w:tcPr>
            <w:tcW w:w="3282" w:type="dxa"/>
          </w:tcPr>
          <w:p w14:paraId="137AA4AB" w14:textId="33B7A1DF" w:rsidR="00F43DA1" w:rsidRPr="00F43DA1" w:rsidRDefault="00F43DA1" w:rsidP="00F43DA1">
            <w:pPr>
              <w:rPr>
                <w:rFonts w:eastAsia="Times New Roman"/>
                <w:lang w:val="en-GB"/>
              </w:rPr>
            </w:pPr>
            <w:r w:rsidRPr="00F43DA1">
              <w:rPr>
                <w:rFonts w:eastAsia="Times New Roman"/>
                <w:lang w:val="en-GB"/>
              </w:rPr>
              <w:t>You refer to primary data collection to be conducted at a distance through interviews, focus group discussions, surveys, yet give no scale yet of the sample, of the number of countries/ participants/</w:t>
            </w:r>
            <w:r w:rsidRPr="00F43DA1">
              <w:rPr>
                <w:lang w:val="en-GB"/>
              </w:rPr>
              <w:t xml:space="preserve">stakeholders who would be involved within this </w:t>
            </w:r>
            <w:r w:rsidRPr="00F43DA1">
              <w:rPr>
                <w:lang w:val="en-GB"/>
              </w:rPr>
              <w:lastRenderedPageBreak/>
              <w:t xml:space="preserve">process – again making the planning of number of days/consultants more difficult. Clarity on this would also be appreciated. </w:t>
            </w:r>
          </w:p>
          <w:p w14:paraId="693D0B6B" w14:textId="77777777" w:rsidR="009B57F2" w:rsidRPr="00BE6730" w:rsidRDefault="009B57F2" w:rsidP="007E797D">
            <w:pPr>
              <w:rPr>
                <w:b/>
                <w:bCs/>
                <w:lang w:val="en-US"/>
              </w:rPr>
            </w:pPr>
          </w:p>
        </w:tc>
        <w:tc>
          <w:tcPr>
            <w:tcW w:w="2518" w:type="dxa"/>
          </w:tcPr>
          <w:p w14:paraId="65EBF08B" w14:textId="711BC9F8" w:rsidR="009B57F2" w:rsidRPr="00E3084A" w:rsidRDefault="00E3084A" w:rsidP="007E797D">
            <w:pPr>
              <w:rPr>
                <w:lang w:val="en-US"/>
              </w:rPr>
            </w:pPr>
            <w:r w:rsidRPr="00E3084A">
              <w:rPr>
                <w:rFonts w:ascii="Aptos" w:hAnsi="Aptos"/>
                <w:lang w:val="en-GB"/>
              </w:rPr>
              <w:lastRenderedPageBreak/>
              <w:t>It is expected that this would be addressed and agreed upon as the inception report is agreed</w:t>
            </w:r>
            <w:r>
              <w:rPr>
                <w:rFonts w:ascii="Aptos" w:hAnsi="Aptos"/>
                <w:lang w:val="en-GB"/>
              </w:rPr>
              <w:t xml:space="preserve"> (see also question on evaluability assessment below)</w:t>
            </w:r>
          </w:p>
        </w:tc>
        <w:tc>
          <w:tcPr>
            <w:tcW w:w="1107" w:type="dxa"/>
          </w:tcPr>
          <w:p w14:paraId="2777FB2F" w14:textId="619060D8" w:rsidR="009B57F2" w:rsidRPr="00E3084A" w:rsidRDefault="00E3084A" w:rsidP="007E797D">
            <w:pPr>
              <w:rPr>
                <w:lang w:val="en-US"/>
              </w:rPr>
            </w:pPr>
            <w:r w:rsidRPr="00E3084A">
              <w:rPr>
                <w:lang w:val="en-US"/>
              </w:rPr>
              <w:t>29 April 2024</w:t>
            </w:r>
          </w:p>
        </w:tc>
      </w:tr>
      <w:tr w:rsidR="00A00DF5" w:rsidRPr="00365030" w14:paraId="0DE0681A" w14:textId="77777777" w:rsidTr="156467F4">
        <w:trPr>
          <w:trHeight w:val="300"/>
        </w:trPr>
        <w:tc>
          <w:tcPr>
            <w:tcW w:w="1615" w:type="dxa"/>
          </w:tcPr>
          <w:p w14:paraId="3AEA9FB4" w14:textId="3D49BFE3" w:rsidR="00A00DF5" w:rsidRPr="009B57F2" w:rsidRDefault="009B57F2" w:rsidP="007E797D">
            <w:pPr>
              <w:rPr>
                <w:lang w:val="en-US"/>
              </w:rPr>
            </w:pPr>
            <w:r>
              <w:rPr>
                <w:lang w:val="en-US"/>
              </w:rPr>
              <w:t>Expectations of an evaluability assessment</w:t>
            </w:r>
          </w:p>
        </w:tc>
        <w:tc>
          <w:tcPr>
            <w:tcW w:w="3282" w:type="dxa"/>
          </w:tcPr>
          <w:p w14:paraId="55FD982D" w14:textId="51532F18" w:rsidR="00A00DF5" w:rsidRPr="00365030" w:rsidRDefault="00365030" w:rsidP="007E797D">
            <w:pPr>
              <w:rPr>
                <w:lang w:val="en-US"/>
              </w:rPr>
            </w:pPr>
            <w:r w:rsidRPr="00365030">
              <w:rPr>
                <w:lang w:val="en-US"/>
              </w:rPr>
              <w:t xml:space="preserve">There is mention of initial assessment for viability, but not of an evaluability assessment – is there clarification of the expectations around this as these are extensive pieces of work within their own right and would have an impact on the total number of </w:t>
            </w:r>
            <w:proofErr w:type="gramStart"/>
            <w:r w:rsidRPr="00365030">
              <w:rPr>
                <w:lang w:val="en-US"/>
              </w:rPr>
              <w:t>days/budget</w:t>
            </w:r>
            <w:proofErr w:type="gramEnd"/>
            <w:r w:rsidRPr="00365030">
              <w:rPr>
                <w:lang w:val="en-US"/>
              </w:rPr>
              <w:t xml:space="preserve"> required to complete</w:t>
            </w:r>
            <w:r w:rsidR="009B57F2">
              <w:rPr>
                <w:lang w:val="en-US"/>
              </w:rPr>
              <w:t>.</w:t>
            </w:r>
          </w:p>
        </w:tc>
        <w:tc>
          <w:tcPr>
            <w:tcW w:w="2518" w:type="dxa"/>
          </w:tcPr>
          <w:p w14:paraId="7CC3E3BD" w14:textId="39C4E5B0" w:rsidR="00A00DF5" w:rsidRPr="00B7379B" w:rsidRDefault="00B7379B" w:rsidP="007E797D">
            <w:pPr>
              <w:rPr>
                <w:lang w:val="en-US"/>
              </w:rPr>
            </w:pPr>
            <w:r w:rsidRPr="00B7379B">
              <w:rPr>
                <w:lang w:val="en-US"/>
              </w:rPr>
              <w:t>There are no such expectations at this stage. These may be addressed during the submission and responses to the envisaged inception report, and/or when the specific design and plan of review efforts for phase 2 are conducted. As contractor</w:t>
            </w:r>
            <w:r w:rsidR="009B57F2">
              <w:rPr>
                <w:lang w:val="en-US"/>
              </w:rPr>
              <w:t>,</w:t>
            </w:r>
            <w:r w:rsidRPr="00B7379B">
              <w:rPr>
                <w:lang w:val="en-US"/>
              </w:rPr>
              <w:t xml:space="preserve"> ODK is prepared to review but not substantially expand the volume of work should experience from the Phase 1 warrant that</w:t>
            </w:r>
            <w:r w:rsidR="009B57F2">
              <w:rPr>
                <w:lang w:val="en-US"/>
              </w:rPr>
              <w:t>.</w:t>
            </w:r>
          </w:p>
        </w:tc>
        <w:tc>
          <w:tcPr>
            <w:tcW w:w="1107" w:type="dxa"/>
          </w:tcPr>
          <w:p w14:paraId="0204D15C" w14:textId="29ED1D59" w:rsidR="00A00DF5" w:rsidRPr="00B7379B" w:rsidRDefault="00B7379B" w:rsidP="007E797D">
            <w:pPr>
              <w:rPr>
                <w:lang w:val="en-US"/>
              </w:rPr>
            </w:pPr>
            <w:r w:rsidRPr="00B7379B">
              <w:rPr>
                <w:lang w:val="en-US"/>
              </w:rPr>
              <w:t>29 April 2024</w:t>
            </w:r>
          </w:p>
        </w:tc>
      </w:tr>
      <w:tr w:rsidR="007E797D" w14:paraId="5A604EE9" w14:textId="295F2399" w:rsidTr="156467F4">
        <w:trPr>
          <w:trHeight w:val="300"/>
        </w:trPr>
        <w:tc>
          <w:tcPr>
            <w:tcW w:w="1615" w:type="dxa"/>
          </w:tcPr>
          <w:p w14:paraId="5736485A" w14:textId="170EFB39" w:rsidR="007E797D" w:rsidRDefault="0063601E" w:rsidP="007E797D">
            <w:pPr>
              <w:rPr>
                <w:lang w:val="en-US"/>
              </w:rPr>
            </w:pPr>
            <w:r>
              <w:rPr>
                <w:lang w:val="en-US"/>
              </w:rPr>
              <w:t>Conflict of interest: EOL Global Learning Partners</w:t>
            </w:r>
          </w:p>
        </w:tc>
        <w:tc>
          <w:tcPr>
            <w:tcW w:w="3282" w:type="dxa"/>
          </w:tcPr>
          <w:p w14:paraId="23F2E73E" w14:textId="5A72CD47" w:rsidR="007E797D" w:rsidRPr="008F1F66" w:rsidRDefault="007E797D" w:rsidP="007E797D">
            <w:pPr>
              <w:rPr>
                <w:rFonts w:eastAsia="Times New Roman"/>
                <w:lang w:val="en-GB"/>
              </w:rPr>
            </w:pPr>
            <w:r>
              <w:rPr>
                <w:rFonts w:eastAsia="Times New Roman"/>
                <w:lang w:val="en-GB"/>
              </w:rPr>
              <w:t>We recently responded to the call for expressions of interest for global learning partners to support Education Out Loud. Is there a conflict of interest between our submission for the global learning partners opportunity and any proposal we might consider providing for the review of Education Out Loud?</w:t>
            </w:r>
          </w:p>
        </w:tc>
        <w:tc>
          <w:tcPr>
            <w:tcW w:w="2518" w:type="dxa"/>
          </w:tcPr>
          <w:p w14:paraId="0B4CA256" w14:textId="09B94759" w:rsidR="007E797D" w:rsidRPr="008F1F66" w:rsidRDefault="007E797D" w:rsidP="007E797D">
            <w:pPr>
              <w:rPr>
                <w:rFonts w:eastAsia="Times New Roman"/>
                <w:lang w:val="en-GB"/>
              </w:rPr>
            </w:pPr>
            <w:r w:rsidRPr="008F1F66">
              <w:rPr>
                <w:rFonts w:eastAsia="Times New Roman"/>
                <w:lang w:val="en-GB"/>
              </w:rPr>
              <w:t xml:space="preserve">Yes, indeed. The role as EOL Global Learning Partner involves a quite substantial engagement with EOL stakeholders – and that could compromise evaluator integrity. </w:t>
            </w:r>
            <w:r>
              <w:rPr>
                <w:rFonts w:eastAsia="Times New Roman"/>
                <w:lang w:val="en-GB"/>
              </w:rPr>
              <w:t>I</w:t>
            </w:r>
            <w:r w:rsidRPr="008F1F66">
              <w:rPr>
                <w:rFonts w:eastAsia="Times New Roman"/>
                <w:lang w:val="en-GB"/>
              </w:rPr>
              <w:t xml:space="preserve">n case your </w:t>
            </w:r>
            <w:r>
              <w:rPr>
                <w:rFonts w:eastAsia="Times New Roman"/>
                <w:lang w:val="en-GB"/>
              </w:rPr>
              <w:t>Global Learning Partner Expression of Interest was</w:t>
            </w:r>
            <w:r w:rsidRPr="008F1F66">
              <w:rPr>
                <w:rFonts w:eastAsia="Times New Roman"/>
                <w:lang w:val="en-GB"/>
              </w:rPr>
              <w:t xml:space="preserve"> successful you would have to choose</w:t>
            </w:r>
            <w:r>
              <w:rPr>
                <w:rFonts w:eastAsia="Times New Roman"/>
                <w:lang w:val="en-GB"/>
              </w:rPr>
              <w:t>.</w:t>
            </w:r>
          </w:p>
          <w:p w14:paraId="58828461" w14:textId="15FC6242" w:rsidR="007E797D" w:rsidRPr="007B6350" w:rsidRDefault="007E797D" w:rsidP="007E797D">
            <w:pPr>
              <w:rPr>
                <w:lang w:val="en-GB"/>
              </w:rPr>
            </w:pPr>
          </w:p>
        </w:tc>
        <w:tc>
          <w:tcPr>
            <w:tcW w:w="1107" w:type="dxa"/>
          </w:tcPr>
          <w:p w14:paraId="221D555B" w14:textId="327B8C21" w:rsidR="007E797D" w:rsidRPr="008F1F66" w:rsidRDefault="007E797D" w:rsidP="007E797D">
            <w:pPr>
              <w:rPr>
                <w:lang w:val="en-GB"/>
              </w:rPr>
            </w:pPr>
            <w:r>
              <w:rPr>
                <w:lang w:val="en-GB"/>
              </w:rPr>
              <w:t>25 April 2024</w:t>
            </w:r>
          </w:p>
        </w:tc>
      </w:tr>
      <w:tr w:rsidR="008B44BC" w14:paraId="28900A73" w14:textId="77777777" w:rsidTr="156467F4">
        <w:trPr>
          <w:trHeight w:val="300"/>
        </w:trPr>
        <w:tc>
          <w:tcPr>
            <w:tcW w:w="1615" w:type="dxa"/>
          </w:tcPr>
          <w:p w14:paraId="576679C8" w14:textId="0A59A724" w:rsidR="008B44BC" w:rsidRDefault="008B44BC" w:rsidP="007E797D">
            <w:pPr>
              <w:rPr>
                <w:lang w:val="en-US"/>
              </w:rPr>
            </w:pPr>
            <w:r>
              <w:rPr>
                <w:lang w:val="en-US"/>
              </w:rPr>
              <w:t xml:space="preserve">Conflict of interest: </w:t>
            </w:r>
            <w:r w:rsidR="008449C2">
              <w:rPr>
                <w:lang w:val="en-US"/>
              </w:rPr>
              <w:t>engaging in World Bank contracts</w:t>
            </w:r>
          </w:p>
        </w:tc>
        <w:tc>
          <w:tcPr>
            <w:tcW w:w="3282" w:type="dxa"/>
          </w:tcPr>
          <w:p w14:paraId="115AD822" w14:textId="709D8021" w:rsidR="008B44BC" w:rsidRDefault="008449C2" w:rsidP="007E797D">
            <w:pPr>
              <w:rPr>
                <w:rFonts w:eastAsia="Times New Roman"/>
                <w:lang w:val="en-GB"/>
              </w:rPr>
            </w:pPr>
            <w:r w:rsidRPr="008449C2">
              <w:rPr>
                <w:rFonts w:eastAsia="Times New Roman"/>
                <w:lang w:val="en-GB"/>
              </w:rPr>
              <w:t>We were wondering whether it would be a conflict of interest for someone working on a contract with the World Bank to be involved in the review.</w:t>
            </w:r>
          </w:p>
        </w:tc>
        <w:tc>
          <w:tcPr>
            <w:tcW w:w="2518" w:type="dxa"/>
          </w:tcPr>
          <w:p w14:paraId="65224819" w14:textId="493B1D46" w:rsidR="008B44BC" w:rsidRPr="008F1F66" w:rsidRDefault="00452179" w:rsidP="007E797D">
            <w:pPr>
              <w:rPr>
                <w:rFonts w:eastAsia="Times New Roman"/>
                <w:lang w:val="en-GB"/>
              </w:rPr>
            </w:pPr>
            <w:r w:rsidRPr="00452179">
              <w:rPr>
                <w:rFonts w:eastAsia="Times New Roman"/>
                <w:lang w:val="en-GB"/>
              </w:rPr>
              <w:t>There would not be a conflict of interest in such a situation, that would be the case if the team involved someone on a GPE or Oxfam contract.</w:t>
            </w:r>
          </w:p>
        </w:tc>
        <w:tc>
          <w:tcPr>
            <w:tcW w:w="1107" w:type="dxa"/>
          </w:tcPr>
          <w:p w14:paraId="6F34C650" w14:textId="326530AF" w:rsidR="008B44BC" w:rsidRDefault="00452179" w:rsidP="007E797D">
            <w:pPr>
              <w:rPr>
                <w:lang w:val="en-GB"/>
              </w:rPr>
            </w:pPr>
            <w:r>
              <w:rPr>
                <w:lang w:val="en-GB"/>
              </w:rPr>
              <w:t>25 April 2024</w:t>
            </w:r>
          </w:p>
        </w:tc>
      </w:tr>
      <w:tr w:rsidR="007E797D" w14:paraId="40E03FAC" w14:textId="71C9A97A" w:rsidTr="156467F4">
        <w:trPr>
          <w:trHeight w:val="300"/>
        </w:trPr>
        <w:tc>
          <w:tcPr>
            <w:tcW w:w="1615" w:type="dxa"/>
          </w:tcPr>
          <w:p w14:paraId="3BC02C18" w14:textId="25CDD9D0" w:rsidR="007E797D" w:rsidRDefault="0050275E" w:rsidP="007E797D">
            <w:pPr>
              <w:rPr>
                <w:lang w:val="en-US"/>
              </w:rPr>
            </w:pPr>
            <w:r>
              <w:rPr>
                <w:lang w:val="en-US"/>
              </w:rPr>
              <w:t>Possibility of d</w:t>
            </w:r>
            <w:r w:rsidR="0063601E">
              <w:rPr>
                <w:lang w:val="en-US"/>
              </w:rPr>
              <w:t>eadline extension</w:t>
            </w:r>
          </w:p>
        </w:tc>
        <w:tc>
          <w:tcPr>
            <w:tcW w:w="3282" w:type="dxa"/>
          </w:tcPr>
          <w:p w14:paraId="75224977" w14:textId="0139FD88" w:rsidR="007E797D" w:rsidRPr="00BE2A9B" w:rsidRDefault="007E797D" w:rsidP="007E797D">
            <w:pPr>
              <w:rPr>
                <w:lang w:val="en-US"/>
              </w:rPr>
            </w:pPr>
            <w:r>
              <w:rPr>
                <w:rFonts w:eastAsia="Times New Roman"/>
                <w:lang w:val="en-GB"/>
              </w:rPr>
              <w:t xml:space="preserve">Is there any possibility of an extension to the 5 May deadline for the submission of proposals </w:t>
            </w:r>
            <w:r>
              <w:rPr>
                <w:rFonts w:eastAsia="Times New Roman"/>
                <w:lang w:val="en-GB"/>
              </w:rPr>
              <w:lastRenderedPageBreak/>
              <w:t>for the review of Education Out Loud?</w:t>
            </w:r>
          </w:p>
        </w:tc>
        <w:tc>
          <w:tcPr>
            <w:tcW w:w="2518" w:type="dxa"/>
          </w:tcPr>
          <w:p w14:paraId="56685A53" w14:textId="061F2D87" w:rsidR="007E797D" w:rsidRDefault="007E797D" w:rsidP="007E797D">
            <w:pPr>
              <w:rPr>
                <w:lang w:val="en-US"/>
              </w:rPr>
            </w:pPr>
            <w:r w:rsidRPr="00BE2A9B">
              <w:rPr>
                <w:lang w:val="en-US"/>
              </w:rPr>
              <w:lastRenderedPageBreak/>
              <w:t xml:space="preserve">Unfortunately </w:t>
            </w:r>
            <w:proofErr w:type="gramStart"/>
            <w:r w:rsidRPr="00BE2A9B">
              <w:rPr>
                <w:lang w:val="en-US"/>
              </w:rPr>
              <w:t>not;</w:t>
            </w:r>
            <w:proofErr w:type="gramEnd"/>
            <w:r w:rsidRPr="00BE2A9B">
              <w:rPr>
                <w:lang w:val="en-US"/>
              </w:rPr>
              <w:t xml:space="preserve"> we have a very tight schedule and need to observe this deadline</w:t>
            </w:r>
          </w:p>
        </w:tc>
        <w:tc>
          <w:tcPr>
            <w:tcW w:w="1107" w:type="dxa"/>
          </w:tcPr>
          <w:p w14:paraId="7C5E1889" w14:textId="40715559" w:rsidR="007E797D" w:rsidRDefault="007E797D" w:rsidP="007E797D">
            <w:pPr>
              <w:rPr>
                <w:lang w:val="en-US"/>
              </w:rPr>
            </w:pPr>
            <w:r>
              <w:rPr>
                <w:lang w:val="en-GB"/>
              </w:rPr>
              <w:t>25 April 2024</w:t>
            </w:r>
          </w:p>
        </w:tc>
      </w:tr>
      <w:tr w:rsidR="007E797D" w14:paraId="0D946A74" w14:textId="78141D43" w:rsidTr="156467F4">
        <w:trPr>
          <w:trHeight w:val="300"/>
        </w:trPr>
        <w:tc>
          <w:tcPr>
            <w:tcW w:w="1615" w:type="dxa"/>
          </w:tcPr>
          <w:p w14:paraId="75F785B8" w14:textId="5B0ECAA9" w:rsidR="007E797D" w:rsidRDefault="008B44BC" w:rsidP="007E797D">
            <w:pPr>
              <w:rPr>
                <w:lang w:val="en-US"/>
              </w:rPr>
            </w:pPr>
            <w:r>
              <w:rPr>
                <w:lang w:val="en-US"/>
              </w:rPr>
              <w:t>Scope of b</w:t>
            </w:r>
            <w:r w:rsidR="0063601E">
              <w:rPr>
                <w:lang w:val="en-US"/>
              </w:rPr>
              <w:t xml:space="preserve">udget and </w:t>
            </w:r>
            <w:r>
              <w:rPr>
                <w:lang w:val="en-US"/>
              </w:rPr>
              <w:t>work</w:t>
            </w:r>
          </w:p>
        </w:tc>
        <w:tc>
          <w:tcPr>
            <w:tcW w:w="3282" w:type="dxa"/>
          </w:tcPr>
          <w:p w14:paraId="638D14DF" w14:textId="28BFEAA1" w:rsidR="007E797D" w:rsidRPr="0084487B" w:rsidRDefault="007E797D" w:rsidP="007E797D">
            <w:pPr>
              <w:rPr>
                <w:lang w:val="en-US"/>
              </w:rPr>
            </w:pPr>
            <w:r>
              <w:rPr>
                <w:lang w:val="en-US"/>
              </w:rPr>
              <w:t>W</w:t>
            </w:r>
            <w:r w:rsidRPr="00036B06">
              <w:rPr>
                <w:lang w:val="en-US"/>
              </w:rPr>
              <w:t xml:space="preserve">e were hoping you could provide some further clarification on the expected budget and scope of work for this review. We noted that EOL has a budget of 133 million </w:t>
            </w:r>
            <w:proofErr w:type="gramStart"/>
            <w:r w:rsidRPr="00036B06">
              <w:rPr>
                <w:lang w:val="en-US"/>
              </w:rPr>
              <w:t>USD</w:t>
            </w:r>
            <w:proofErr w:type="gramEnd"/>
            <w:r w:rsidRPr="00036B06">
              <w:rPr>
                <w:lang w:val="en-US"/>
              </w:rPr>
              <w:t xml:space="preserve"> however the review seems to be quite light touch and we were hoping you could provide some further details on the expected budget for the review and clarify its purpose. If you are unable to provide information on the expected budget it would be helpful if you could share more information on what the expected level of effort might be.</w:t>
            </w:r>
          </w:p>
        </w:tc>
        <w:tc>
          <w:tcPr>
            <w:tcW w:w="2518" w:type="dxa"/>
          </w:tcPr>
          <w:p w14:paraId="6A4685D5" w14:textId="6529D8D3" w:rsidR="007E797D" w:rsidRPr="0084487B" w:rsidRDefault="007E797D" w:rsidP="007E797D">
            <w:pPr>
              <w:rPr>
                <w:lang w:val="en-US"/>
              </w:rPr>
            </w:pPr>
            <w:r w:rsidRPr="0084487B">
              <w:rPr>
                <w:lang w:val="en-US"/>
              </w:rPr>
              <w:t>•</w:t>
            </w:r>
            <w:r>
              <w:rPr>
                <w:lang w:val="en-US"/>
              </w:rPr>
              <w:t xml:space="preserve"> We</w:t>
            </w:r>
            <w:r w:rsidRPr="0084487B">
              <w:rPr>
                <w:lang w:val="en-US"/>
              </w:rPr>
              <w:t xml:space="preserve"> cannot provide details re the budget volume. </w:t>
            </w:r>
            <w:r>
              <w:rPr>
                <w:lang w:val="en-US"/>
              </w:rPr>
              <w:t>F</w:t>
            </w:r>
            <w:r w:rsidRPr="0084487B">
              <w:rPr>
                <w:lang w:val="en-US"/>
              </w:rPr>
              <w:t xml:space="preserve">rom an ODK perspective, </w:t>
            </w:r>
            <w:r>
              <w:rPr>
                <w:lang w:val="en-US"/>
              </w:rPr>
              <w:t xml:space="preserve">however, </w:t>
            </w:r>
            <w:r w:rsidRPr="0084487B">
              <w:rPr>
                <w:lang w:val="en-US"/>
              </w:rPr>
              <w:t>it is substantial as also illustrated by the fact that in adhering to our procurement guidelines we opt for an open call for proposal procedure</w:t>
            </w:r>
            <w:r w:rsidR="0050275E">
              <w:rPr>
                <w:lang w:val="en-US"/>
              </w:rPr>
              <w:t>.</w:t>
            </w:r>
          </w:p>
          <w:p w14:paraId="33D1D4B0" w14:textId="2D34D6D0" w:rsidR="007E797D" w:rsidRDefault="007E797D" w:rsidP="007E797D">
            <w:pPr>
              <w:rPr>
                <w:lang w:val="en-US"/>
              </w:rPr>
            </w:pPr>
            <w:r w:rsidRPr="0084487B">
              <w:rPr>
                <w:lang w:val="en-US"/>
              </w:rPr>
              <w:t>•</w:t>
            </w:r>
            <w:r>
              <w:rPr>
                <w:lang w:val="en-US"/>
              </w:rPr>
              <w:t xml:space="preserve"> </w:t>
            </w:r>
            <w:r w:rsidRPr="0084487B">
              <w:rPr>
                <w:lang w:val="en-US"/>
              </w:rPr>
              <w:t>Again, there are no fixed expectations re the volume of work –</w:t>
            </w:r>
            <w:r>
              <w:rPr>
                <w:lang w:val="en-US"/>
              </w:rPr>
              <w:t xml:space="preserve"> we would expect, however, that the assigned would require more than 100 person/days of work – probably somewhat more.</w:t>
            </w:r>
          </w:p>
        </w:tc>
        <w:tc>
          <w:tcPr>
            <w:tcW w:w="1107" w:type="dxa"/>
          </w:tcPr>
          <w:p w14:paraId="13D92CB2" w14:textId="6F0983B6" w:rsidR="007E797D" w:rsidRDefault="00452179" w:rsidP="007E797D">
            <w:pPr>
              <w:rPr>
                <w:lang w:val="en-US"/>
              </w:rPr>
            </w:pPr>
            <w:r>
              <w:rPr>
                <w:lang w:val="en-GB"/>
              </w:rPr>
              <w:t>25 April 2024</w:t>
            </w:r>
          </w:p>
        </w:tc>
      </w:tr>
      <w:tr w:rsidR="007E797D" w14:paraId="456949FB" w14:textId="77777777" w:rsidTr="156467F4">
        <w:trPr>
          <w:trHeight w:val="300"/>
        </w:trPr>
        <w:tc>
          <w:tcPr>
            <w:tcW w:w="1615" w:type="dxa"/>
          </w:tcPr>
          <w:p w14:paraId="35E986EE" w14:textId="5DA9DAC8" w:rsidR="007E797D" w:rsidRDefault="002C1AFB" w:rsidP="007E797D">
            <w:pPr>
              <w:rPr>
                <w:lang w:val="en-US"/>
              </w:rPr>
            </w:pPr>
            <w:r>
              <w:rPr>
                <w:lang w:val="en-US"/>
              </w:rPr>
              <w:t>Selection process</w:t>
            </w:r>
          </w:p>
        </w:tc>
        <w:tc>
          <w:tcPr>
            <w:tcW w:w="3282" w:type="dxa"/>
          </w:tcPr>
          <w:p w14:paraId="1DA60B5C" w14:textId="77777777" w:rsidR="00284DA3" w:rsidRDefault="00284DA3" w:rsidP="00284DA3">
            <w:pPr>
              <w:rPr>
                <w:lang w:val="en-GB"/>
              </w:rPr>
            </w:pPr>
            <w:r>
              <w:rPr>
                <w:lang w:val="en-GB"/>
              </w:rPr>
              <w:t xml:space="preserve">Is there a deadline for clarification questions for this project? </w:t>
            </w:r>
          </w:p>
          <w:p w14:paraId="060E9454" w14:textId="77777777" w:rsidR="00284DA3" w:rsidRDefault="00284DA3" w:rsidP="00284DA3">
            <w:pPr>
              <w:rPr>
                <w:lang w:val="en-GB"/>
              </w:rPr>
            </w:pPr>
            <w:r>
              <w:rPr>
                <w:lang w:val="en-GB"/>
              </w:rPr>
              <w:t>Do you have an updated schedule for the project?  It says you want an inception report by end April for example which is unfeasible.</w:t>
            </w:r>
          </w:p>
          <w:p w14:paraId="79EA9E03" w14:textId="77777777" w:rsidR="007E797D" w:rsidRPr="00284DA3" w:rsidRDefault="007E797D" w:rsidP="007E797D">
            <w:pPr>
              <w:rPr>
                <w:lang w:val="en-GB"/>
              </w:rPr>
            </w:pPr>
          </w:p>
        </w:tc>
        <w:tc>
          <w:tcPr>
            <w:tcW w:w="2518" w:type="dxa"/>
          </w:tcPr>
          <w:p w14:paraId="5AEA1EAB" w14:textId="360CDC87" w:rsidR="007E797D" w:rsidRPr="000D1F5E" w:rsidRDefault="000D1F5E" w:rsidP="000D1F5E">
            <w:pPr>
              <w:spacing w:after="160" w:line="259" w:lineRule="auto"/>
              <w:rPr>
                <w:rFonts w:ascii="Calibri" w:hAnsi="Calibri" w:cs="Calibri"/>
                <w:lang w:val="en-GB"/>
              </w:rPr>
            </w:pPr>
            <w:r>
              <w:rPr>
                <w:rFonts w:ascii="Calibri" w:hAnsi="Calibri" w:cs="Calibri"/>
                <w:lang w:val="en-GB"/>
              </w:rPr>
              <w:t>We will make an amendment to the documents later this week (and post this on the website) to reflect the relevant point that you have raised. The present schedules include us having selected the successful bidder by week of 13 May 2024. An inception report is expected soonest thereafter, ideally by end May</w:t>
            </w:r>
            <w:r w:rsidR="003833E8">
              <w:rPr>
                <w:rFonts w:ascii="Calibri" w:hAnsi="Calibri" w:cs="Calibri"/>
                <w:lang w:val="en-GB"/>
              </w:rPr>
              <w:t xml:space="preserve"> 2024</w:t>
            </w:r>
            <w:r>
              <w:rPr>
                <w:rFonts w:ascii="Calibri" w:hAnsi="Calibri" w:cs="Calibri"/>
                <w:lang w:val="en-GB"/>
              </w:rPr>
              <w:t xml:space="preserve">. </w:t>
            </w:r>
          </w:p>
        </w:tc>
        <w:tc>
          <w:tcPr>
            <w:tcW w:w="1107" w:type="dxa"/>
          </w:tcPr>
          <w:p w14:paraId="62A76787" w14:textId="48D8D5B2" w:rsidR="007E797D" w:rsidRDefault="003833E8" w:rsidP="007E797D">
            <w:pPr>
              <w:rPr>
                <w:lang w:val="en-US"/>
              </w:rPr>
            </w:pPr>
            <w:r>
              <w:rPr>
                <w:lang w:val="en-US"/>
              </w:rPr>
              <w:t>22 April 2024</w:t>
            </w:r>
          </w:p>
        </w:tc>
      </w:tr>
    </w:tbl>
    <w:p w14:paraId="62C40B75" w14:textId="0B7AD5B9" w:rsidR="156467F4" w:rsidRDefault="156467F4"/>
    <w:p w14:paraId="18BFB88A" w14:textId="77777777" w:rsidR="00064A85" w:rsidRPr="00246F30" w:rsidRDefault="00064A85">
      <w:pPr>
        <w:rPr>
          <w:lang w:val="en-US"/>
        </w:rPr>
      </w:pPr>
    </w:p>
    <w:sectPr w:rsidR="00064A85" w:rsidRPr="00246F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33A2"/>
    <w:multiLevelType w:val="hybridMultilevel"/>
    <w:tmpl w:val="1D84C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7333C79"/>
    <w:multiLevelType w:val="hybridMultilevel"/>
    <w:tmpl w:val="B1DA8A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5189599">
    <w:abstractNumId w:val="0"/>
  </w:num>
  <w:num w:numId="2" w16cid:durableId="1326280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37"/>
    <w:rsid w:val="00036B06"/>
    <w:rsid w:val="00064A85"/>
    <w:rsid w:val="000B5EF0"/>
    <w:rsid w:val="000D1F5E"/>
    <w:rsid w:val="00184478"/>
    <w:rsid w:val="001C7062"/>
    <w:rsid w:val="0021152B"/>
    <w:rsid w:val="00246F30"/>
    <w:rsid w:val="0025698F"/>
    <w:rsid w:val="00284DA3"/>
    <w:rsid w:val="002A6028"/>
    <w:rsid w:val="002C1AFB"/>
    <w:rsid w:val="002E1070"/>
    <w:rsid w:val="003467AC"/>
    <w:rsid w:val="00365030"/>
    <w:rsid w:val="003833E8"/>
    <w:rsid w:val="00452179"/>
    <w:rsid w:val="0050275E"/>
    <w:rsid w:val="00530BCE"/>
    <w:rsid w:val="006268BF"/>
    <w:rsid w:val="0063601E"/>
    <w:rsid w:val="006F561D"/>
    <w:rsid w:val="0078324B"/>
    <w:rsid w:val="007B6350"/>
    <w:rsid w:val="007C7C27"/>
    <w:rsid w:val="007E797D"/>
    <w:rsid w:val="0084487B"/>
    <w:rsid w:val="008449C2"/>
    <w:rsid w:val="008B44BC"/>
    <w:rsid w:val="008F009F"/>
    <w:rsid w:val="008F1F66"/>
    <w:rsid w:val="00950037"/>
    <w:rsid w:val="0099384A"/>
    <w:rsid w:val="009A5DBD"/>
    <w:rsid w:val="009B57F2"/>
    <w:rsid w:val="00A00DF5"/>
    <w:rsid w:val="00AB6908"/>
    <w:rsid w:val="00B56F4E"/>
    <w:rsid w:val="00B7379B"/>
    <w:rsid w:val="00BB10DC"/>
    <w:rsid w:val="00BE2A9B"/>
    <w:rsid w:val="00BE6730"/>
    <w:rsid w:val="00C76607"/>
    <w:rsid w:val="00C80742"/>
    <w:rsid w:val="00CF558D"/>
    <w:rsid w:val="00D02B41"/>
    <w:rsid w:val="00E25BB1"/>
    <w:rsid w:val="00E3084A"/>
    <w:rsid w:val="00E36F2E"/>
    <w:rsid w:val="00F43DA1"/>
    <w:rsid w:val="156467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FA3F"/>
  <w15:chartTrackingRefBased/>
  <w15:docId w15:val="{C75418B1-E5AC-4428-894A-86F4675B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0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00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00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00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00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0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0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00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00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00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00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0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037"/>
    <w:rPr>
      <w:rFonts w:eastAsiaTheme="majorEastAsia" w:cstheme="majorBidi"/>
      <w:color w:val="272727" w:themeColor="text1" w:themeTint="D8"/>
    </w:rPr>
  </w:style>
  <w:style w:type="paragraph" w:styleId="Title">
    <w:name w:val="Title"/>
    <w:basedOn w:val="Normal"/>
    <w:next w:val="Normal"/>
    <w:link w:val="TitleChar"/>
    <w:uiPriority w:val="10"/>
    <w:qFormat/>
    <w:rsid w:val="00950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037"/>
    <w:pPr>
      <w:spacing w:before="160"/>
      <w:jc w:val="center"/>
    </w:pPr>
    <w:rPr>
      <w:i/>
      <w:iCs/>
      <w:color w:val="404040" w:themeColor="text1" w:themeTint="BF"/>
    </w:rPr>
  </w:style>
  <w:style w:type="character" w:customStyle="1" w:styleId="QuoteChar">
    <w:name w:val="Quote Char"/>
    <w:basedOn w:val="DefaultParagraphFont"/>
    <w:link w:val="Quote"/>
    <w:uiPriority w:val="29"/>
    <w:rsid w:val="00950037"/>
    <w:rPr>
      <w:i/>
      <w:iCs/>
      <w:color w:val="404040" w:themeColor="text1" w:themeTint="BF"/>
    </w:rPr>
  </w:style>
  <w:style w:type="paragraph" w:styleId="ListParagraph">
    <w:name w:val="List Paragraph"/>
    <w:basedOn w:val="Normal"/>
    <w:uiPriority w:val="34"/>
    <w:qFormat/>
    <w:rsid w:val="00950037"/>
    <w:pPr>
      <w:ind w:left="720"/>
      <w:contextualSpacing/>
    </w:pPr>
  </w:style>
  <w:style w:type="character" w:styleId="IntenseEmphasis">
    <w:name w:val="Intense Emphasis"/>
    <w:basedOn w:val="DefaultParagraphFont"/>
    <w:uiPriority w:val="21"/>
    <w:qFormat/>
    <w:rsid w:val="00950037"/>
    <w:rPr>
      <w:i/>
      <w:iCs/>
      <w:color w:val="2F5496" w:themeColor="accent1" w:themeShade="BF"/>
    </w:rPr>
  </w:style>
  <w:style w:type="paragraph" w:styleId="IntenseQuote">
    <w:name w:val="Intense Quote"/>
    <w:basedOn w:val="Normal"/>
    <w:next w:val="Normal"/>
    <w:link w:val="IntenseQuoteChar"/>
    <w:uiPriority w:val="30"/>
    <w:qFormat/>
    <w:rsid w:val="00950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0037"/>
    <w:rPr>
      <w:i/>
      <w:iCs/>
      <w:color w:val="2F5496" w:themeColor="accent1" w:themeShade="BF"/>
    </w:rPr>
  </w:style>
  <w:style w:type="character" w:styleId="IntenseReference">
    <w:name w:val="Intense Reference"/>
    <w:basedOn w:val="DefaultParagraphFont"/>
    <w:uiPriority w:val="32"/>
    <w:qFormat/>
    <w:rsid w:val="00950037"/>
    <w:rPr>
      <w:b/>
      <w:bCs/>
      <w:smallCaps/>
      <w:color w:val="2F5496" w:themeColor="accent1" w:themeShade="BF"/>
      <w:spacing w:val="5"/>
    </w:rPr>
  </w:style>
  <w:style w:type="table" w:styleId="TableGrid">
    <w:name w:val="Table Grid"/>
    <w:basedOn w:val="TableNormal"/>
    <w:uiPriority w:val="39"/>
    <w:rsid w:val="0006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0111">
      <w:bodyDiv w:val="1"/>
      <w:marLeft w:val="0"/>
      <w:marRight w:val="0"/>
      <w:marTop w:val="0"/>
      <w:marBottom w:val="0"/>
      <w:divBdr>
        <w:top w:val="none" w:sz="0" w:space="0" w:color="auto"/>
        <w:left w:val="none" w:sz="0" w:space="0" w:color="auto"/>
        <w:bottom w:val="none" w:sz="0" w:space="0" w:color="auto"/>
        <w:right w:val="none" w:sz="0" w:space="0" w:color="auto"/>
      </w:divBdr>
    </w:div>
    <w:div w:id="816534683">
      <w:bodyDiv w:val="1"/>
      <w:marLeft w:val="0"/>
      <w:marRight w:val="0"/>
      <w:marTop w:val="0"/>
      <w:marBottom w:val="0"/>
      <w:divBdr>
        <w:top w:val="none" w:sz="0" w:space="0" w:color="auto"/>
        <w:left w:val="none" w:sz="0" w:space="0" w:color="auto"/>
        <w:bottom w:val="none" w:sz="0" w:space="0" w:color="auto"/>
        <w:right w:val="none" w:sz="0" w:space="0" w:color="auto"/>
      </w:divBdr>
    </w:div>
    <w:div w:id="851916529">
      <w:bodyDiv w:val="1"/>
      <w:marLeft w:val="0"/>
      <w:marRight w:val="0"/>
      <w:marTop w:val="0"/>
      <w:marBottom w:val="0"/>
      <w:divBdr>
        <w:top w:val="none" w:sz="0" w:space="0" w:color="auto"/>
        <w:left w:val="none" w:sz="0" w:space="0" w:color="auto"/>
        <w:bottom w:val="none" w:sz="0" w:space="0" w:color="auto"/>
        <w:right w:val="none" w:sz="0" w:space="0" w:color="auto"/>
      </w:divBdr>
    </w:div>
    <w:div w:id="880824667">
      <w:bodyDiv w:val="1"/>
      <w:marLeft w:val="0"/>
      <w:marRight w:val="0"/>
      <w:marTop w:val="0"/>
      <w:marBottom w:val="0"/>
      <w:divBdr>
        <w:top w:val="none" w:sz="0" w:space="0" w:color="auto"/>
        <w:left w:val="none" w:sz="0" w:space="0" w:color="auto"/>
        <w:bottom w:val="none" w:sz="0" w:space="0" w:color="auto"/>
        <w:right w:val="none" w:sz="0" w:space="0" w:color="auto"/>
      </w:divBdr>
    </w:div>
    <w:div w:id="1439526965">
      <w:bodyDiv w:val="1"/>
      <w:marLeft w:val="0"/>
      <w:marRight w:val="0"/>
      <w:marTop w:val="0"/>
      <w:marBottom w:val="0"/>
      <w:divBdr>
        <w:top w:val="none" w:sz="0" w:space="0" w:color="auto"/>
        <w:left w:val="none" w:sz="0" w:space="0" w:color="auto"/>
        <w:bottom w:val="none" w:sz="0" w:space="0" w:color="auto"/>
        <w:right w:val="none" w:sz="0" w:space="0" w:color="auto"/>
      </w:divBdr>
    </w:div>
    <w:div w:id="1780299853">
      <w:bodyDiv w:val="1"/>
      <w:marLeft w:val="0"/>
      <w:marRight w:val="0"/>
      <w:marTop w:val="0"/>
      <w:marBottom w:val="0"/>
      <w:divBdr>
        <w:top w:val="none" w:sz="0" w:space="0" w:color="auto"/>
        <w:left w:val="none" w:sz="0" w:space="0" w:color="auto"/>
        <w:bottom w:val="none" w:sz="0" w:space="0" w:color="auto"/>
        <w:right w:val="none" w:sz="0" w:space="0" w:color="auto"/>
      </w:divBdr>
    </w:div>
    <w:div w:id="1787190700">
      <w:bodyDiv w:val="1"/>
      <w:marLeft w:val="0"/>
      <w:marRight w:val="0"/>
      <w:marTop w:val="0"/>
      <w:marBottom w:val="0"/>
      <w:divBdr>
        <w:top w:val="none" w:sz="0" w:space="0" w:color="auto"/>
        <w:left w:val="none" w:sz="0" w:space="0" w:color="auto"/>
        <w:bottom w:val="none" w:sz="0" w:space="0" w:color="auto"/>
        <w:right w:val="none" w:sz="0" w:space="0" w:color="auto"/>
      </w:divBdr>
    </w:div>
    <w:div w:id="19266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791</Words>
  <Characters>4826</Characters>
  <Application>Microsoft Office Word</Application>
  <DocSecurity>0</DocSecurity>
  <Lines>40</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Wolf Andersen</dc:creator>
  <cp:keywords/>
  <dc:description/>
  <cp:lastModifiedBy>Martin Wolf Andersen</cp:lastModifiedBy>
  <cp:revision>45</cp:revision>
  <dcterms:created xsi:type="dcterms:W3CDTF">2024-04-29T12:06:00Z</dcterms:created>
  <dcterms:modified xsi:type="dcterms:W3CDTF">2024-04-30T17:36:00Z</dcterms:modified>
</cp:coreProperties>
</file>